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0E" w:rsidRPr="00F434F1" w:rsidRDefault="0036360E" w:rsidP="00F434F1">
      <w:pPr>
        <w:spacing w:after="0" w:line="240" w:lineRule="auto"/>
        <w:jc w:val="center"/>
        <w:rPr>
          <w:rFonts w:ascii="Arial" w:eastAsia="Times New Roman" w:hAnsi="Arial" w:cs="Arial"/>
          <w:b/>
          <w:bCs/>
          <w:sz w:val="32"/>
          <w:szCs w:val="16"/>
        </w:rPr>
      </w:pPr>
      <w:r w:rsidRPr="00F434F1">
        <w:rPr>
          <w:rFonts w:ascii="Arial" w:eastAsia="Times New Roman" w:hAnsi="Arial" w:cs="Arial"/>
          <w:b/>
          <w:bCs/>
          <w:sz w:val="32"/>
          <w:szCs w:val="16"/>
        </w:rPr>
        <w:t>Exchange-Traded Fund Categories</w:t>
      </w:r>
    </w:p>
    <w:p w:rsidR="0036360E" w:rsidRPr="0036360E" w:rsidRDefault="0036360E" w:rsidP="0036360E">
      <w:pPr>
        <w:spacing w:after="0" w:line="240" w:lineRule="auto"/>
        <w:rPr>
          <w:rFonts w:ascii="Arial" w:eastAsia="Times New Roman" w:hAnsi="Arial" w:cs="Arial"/>
          <w:b/>
          <w:bCs/>
          <w:sz w:val="16"/>
          <w:szCs w:val="16"/>
        </w:rPr>
      </w:pP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Exchange-traded funds (ETFs) are growing in number and track a variety of indexes. Many ETFs, however, have shared investments that generally lead to other characteristics that are similar.</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These shared characteristics allow us to divide exchange-traded funds into categories; here we define the ETF categories used in AAII's Guide to Exchange-Traded Funds. In the guide, the individual fund listings appear alphabetically within each category.</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Stock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ETFs that invest in common stocks typically follow indexes based on market capitalization, country, style, sector, industry or a combination of these characteristics. The underlying index may either be well known, such as the S&amp;P 500, or one that has been created for the fund to follow. Over the stock market cycles, large stocks behave differently from small stocks, domestic stocks do not move in unison with foreign or emerging market stocks, and stocks in different sectors or industries react differently to the same economic and business conditions.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For investors to make initial investment decisions on stock-based ETFs and to compare and evaluate the ongoing performance of investments in stock-based ETFs, grouping similar funds together into cohesive categories is a logical first step.</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Large-Cap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In funds categorized by stock size, the "cap" stands for capitalization (market share price </w:t>
      </w:r>
      <w:proofErr w:type="gramStart"/>
      <w:r w:rsidRPr="0036360E">
        <w:rPr>
          <w:rFonts w:ascii="Arial" w:eastAsia="Times New Roman" w:hAnsi="Arial" w:cs="Arial"/>
          <w:sz w:val="16"/>
          <w:szCs w:val="16"/>
        </w:rPr>
        <w:t>times</w:t>
      </w:r>
      <w:proofErr w:type="gramEnd"/>
      <w:r w:rsidRPr="0036360E">
        <w:rPr>
          <w:rFonts w:ascii="Arial" w:eastAsia="Times New Roman" w:hAnsi="Arial" w:cs="Arial"/>
          <w:sz w:val="16"/>
          <w:szCs w:val="16"/>
        </w:rPr>
        <w:t xml:space="preserve"> number of shares of common stock outstanding).</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Large-cap stocks are usually stocks of national or multinational firms with well-known products or services provided to consumers, other businesses, or governments. Most of the stocks in the Dow Jones industrial average, the S&amp;P 500 and the NASDAQ 100 are, for example, large-cap stocks. While some large-cap stocks are more volatile than others, a well-diversified ETF portfolio of large-cap stocks would perform similarly to most investors' conception of the stock market. Large-cap stocks, as a category, also tend to pay the highest cash dividends, although many large-cap stocks pay no dividends. Large-cap stock funds, in summary, tend to have the lowest volatility and highest dividend yield in the domestic common stock group.</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Mid-Cap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Mid-cap stocks are, as their name implies, smaller than the largest domestic stocks. They are usually established firms in established industries with regional, national and sometimes international markets for their products and services. The S&amp;P </w:t>
      </w:r>
      <w:proofErr w:type="spellStart"/>
      <w:r w:rsidRPr="0036360E">
        <w:rPr>
          <w:rFonts w:ascii="Arial" w:eastAsia="Times New Roman" w:hAnsi="Arial" w:cs="Arial"/>
          <w:sz w:val="16"/>
          <w:szCs w:val="16"/>
        </w:rPr>
        <w:t>MidCap</w:t>
      </w:r>
      <w:proofErr w:type="spellEnd"/>
      <w:r w:rsidRPr="0036360E">
        <w:rPr>
          <w:rFonts w:ascii="Arial" w:eastAsia="Times New Roman" w:hAnsi="Arial" w:cs="Arial"/>
          <w:sz w:val="16"/>
          <w:szCs w:val="16"/>
        </w:rPr>
        <w:t xml:space="preserve"> 400 index is the best-known benchmark for mid-cap stocks. These ETFs would tend to have lower dividend yields than large-cap funds and to have somewhat higher volatility.</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Small-Cap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Small-cap stocks are often emerging firms in sometimes emerging industries. But also, these small companies can be established firms with local, regional and sometimes even national and international markets. The most well-known benchmark for this group is the S&amp;P </w:t>
      </w:r>
      <w:proofErr w:type="spellStart"/>
      <w:r w:rsidRPr="0036360E">
        <w:rPr>
          <w:rFonts w:ascii="Arial" w:eastAsia="Times New Roman" w:hAnsi="Arial" w:cs="Arial"/>
          <w:sz w:val="16"/>
          <w:szCs w:val="16"/>
        </w:rPr>
        <w:t>SmallCap</w:t>
      </w:r>
      <w:proofErr w:type="spellEnd"/>
      <w:r w:rsidRPr="0036360E">
        <w:rPr>
          <w:rFonts w:ascii="Arial" w:eastAsia="Times New Roman" w:hAnsi="Arial" w:cs="Arial"/>
          <w:sz w:val="16"/>
          <w:szCs w:val="16"/>
        </w:rPr>
        <w:t xml:space="preserve"> 600 index. These stocks must have liquid enough trading for ETFs to invest and, although small, are still listed on the New York Stock Exchange, the American Stock Exchange or NASDAQ. Small-cap ETFs tend to be more volatile than large-cap and mid-cap ETFs, have very low dividend yields, and often do not move in tandem with large-cap and mid-cap funds.</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Micro-Cap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Micro-cap stocks are also often emerging firms in sometimes emerging industries, but have comparatively lower market capitalizations (total shares outstanding times price). These stocks can be traded less frequently, though the ones selected for inclusion within an index must have enough volume for ETFs to invest in. These micro-cap funds tend to be more volatile than large-cap and mid-cap ETFs, have very low dividend yields, and often do not move in tandem with large-cap and mid-cap funds.</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Preferred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Preferred stocks are a hybrid security. Preferred shareholders receive quarterly dividends, but lack most of the voting rights that common stock shareholders have. Dividends on the preferred stock must be paid before dividends on common stock are. If a dividend payment on preferred stock is missed, the dividend payments accrue indefinitely until paid. In the event of bankruptcy, the interests of preferred stock shareholders come before common stock shareholders, but after the interests of bondholders. Prices of preferred shares are influenced both by interest rate fluctuations and the profitability of the issuer. Therefore, they do not necessarily move in tandem with either bonds or common stock.</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Ultra Market (Long)</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Ultra market ETFs seek to produce a return that is two-to-three times higher than the underlying index for a specific day. For example, if the underlying index rises 1%, an ultra market ETF may rise 2%. These are very aggressive funds and are designed to be used for short periods of time. Holding such funds for longer periods can result in returns that may be worse than expected.</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Long-Short</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These ETFs follow one of two strategies. The first is to use both long and short exposures in an attempt to profit from the market’s volatility. The second is to use options, such as covered calls, to produce a stream of income that is not tied to the market’s fortunes.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Long-short funds hold sizable stakes in both long and short positions. Some funds are market neutral, dividing their exposure equally between long and short positions in an attempt to earn a modest return that is not tied to the market's fortunes. Others shift exposure to long and short positions depending upon their macro outlook or the opportunities they uncover through bottom-up research.</w:t>
      </w:r>
    </w:p>
    <w:p w:rsidR="0036360E" w:rsidRDefault="0036360E" w:rsidP="0036360E">
      <w:pPr>
        <w:spacing w:after="0" w:line="240" w:lineRule="auto"/>
        <w:rPr>
          <w:rFonts w:ascii="Arial" w:eastAsia="Times New Roman" w:hAnsi="Arial" w:cs="Arial"/>
          <w:sz w:val="16"/>
          <w:szCs w:val="16"/>
        </w:rPr>
      </w:pPr>
    </w:p>
    <w:p w:rsidR="00F434F1" w:rsidRDefault="00F434F1" w:rsidP="0036360E">
      <w:pPr>
        <w:spacing w:after="0" w:line="240" w:lineRule="auto"/>
        <w:rPr>
          <w:rFonts w:ascii="Arial" w:eastAsia="Times New Roman" w:hAnsi="Arial" w:cs="Arial"/>
          <w:sz w:val="16"/>
          <w:szCs w:val="16"/>
        </w:rPr>
      </w:pPr>
    </w:p>
    <w:p w:rsidR="00F434F1" w:rsidRPr="0036360E" w:rsidRDefault="00F434F1" w:rsidP="0036360E">
      <w:pPr>
        <w:spacing w:after="0" w:line="240" w:lineRule="auto"/>
        <w:rPr>
          <w:rFonts w:ascii="Arial" w:eastAsia="Times New Roman" w:hAnsi="Arial" w:cs="Arial"/>
          <w:sz w:val="16"/>
          <w:szCs w:val="16"/>
        </w:rPr>
      </w:pPr>
      <w:bookmarkStart w:id="0" w:name="_GoBack"/>
      <w:bookmarkEnd w:id="0"/>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lastRenderedPageBreak/>
        <w:t>Contra Stock Market</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Contra market ETFs seek to produce a return that is the inverse of how the underlying index performed for a given day. For example, if the underlying index falls 1%, a contra stock market ETF may rise 1%. A fund labeled “double,” “2x” or “3x” is intended to produce a return that is two-to-three times inverse of the underlying index. (If the index falls 1%, these ETFs may rise by 2% or </w:t>
      </w:r>
      <w:proofErr w:type="gramStart"/>
      <w:r w:rsidRPr="0036360E">
        <w:rPr>
          <w:rFonts w:ascii="Arial" w:eastAsia="Times New Roman" w:hAnsi="Arial" w:cs="Arial"/>
          <w:sz w:val="16"/>
          <w:szCs w:val="16"/>
        </w:rPr>
        <w:t>3%</w:t>
      </w:r>
      <w:proofErr w:type="gramEnd"/>
      <w:r w:rsidRPr="0036360E">
        <w:rPr>
          <w:rFonts w:ascii="Arial" w:eastAsia="Times New Roman" w:hAnsi="Arial" w:cs="Arial"/>
          <w:sz w:val="16"/>
          <w:szCs w:val="16"/>
        </w:rPr>
        <w:t>.) Contra stock market funds invest in short stock positions and derivatives. These are very aggressive funds and are designed to be used for short periods of time. Holding such funds for longer periods can result in returns that may be worse than expected.</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Market Volatility</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Market volatility ETFs have performance tied to the movement of a volatility index such as the VIX. The VIX (the Chicago Board Options Exchange Market Volatility Index) measures the implied volatility of S&amp;P 500 index options. The VIX is a hypothetical measure of volatility based on metrics involving options trades and expectations of stock market volatility over the next 30 day period. The VIX tends to climb when anxiety over the short-term outlook for equity market increases and falls when stock market goes up. These are very aggressive funds and are designed to be used for short periods of time. Holding such funds for longer periods can result in returns that may be worse than expected.</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Sector Stock</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Sector ETFs concentrate their stock holdings in just one industry or a few related industries. They are diversified within the sector, but are not broadly diversified. They may invest in the U.S. or internationally. They are still influenced and react to industry/sector factors as well as general stock market factors. Sector funds have greater risk than diversified common stock funds. As is clear from this sector category list, some sectors are of greater risk than others--technology versus utilities, for example. By definition, a sector fund is a concentrated, not diversified, fund holding.</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Commodities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Commodities ETFs and ETNs track the price movement of physical commodities, including metals, oil, natural gas, and grains. These funds may either invest in the physical commodity (typically via a trust that actually holds the commodity) or through the use of futures contracts. ETNs are debt securities and the credit rating of the issuing firm must be taken into consideration. Commodities move independently of stocks as their prices can be impacted by global politics, weather patterns and labor rest, as well as the state of the economy. Commodities can appreciate when inflation is strong and depreciate during deflationary periods. Commodity investments should account for no more than a small percentage of one’s portfolio. Contra Commodities Market ETFs seek to produce a return that is the inverse of how the underlying index performed for a given day. For example, if the underlying index falls 1%, a contra commodities market ETF may rise 1%.</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Balanced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In general, the portfolios of balanced ETFs consist of investments in common stocks and significant investments in bonds and convertible securities. The range as a percentage of the total portfolio of stocks and bonds is usually stated in the investment objective, and the portfolio manager has the option of allocating the proportions within the range. Some asset allocation funds--</w:t>
      </w:r>
      <w:proofErr w:type="spellStart"/>
      <w:r w:rsidRPr="0036360E">
        <w:rPr>
          <w:rFonts w:ascii="Arial" w:eastAsia="Times New Roman" w:hAnsi="Arial" w:cs="Arial"/>
          <w:sz w:val="16"/>
          <w:szCs w:val="16"/>
        </w:rPr>
        <w:t>funds</w:t>
      </w:r>
      <w:proofErr w:type="spellEnd"/>
      <w:r w:rsidRPr="0036360E">
        <w:rPr>
          <w:rFonts w:ascii="Arial" w:eastAsia="Times New Roman" w:hAnsi="Arial" w:cs="Arial"/>
          <w:sz w:val="16"/>
          <w:szCs w:val="16"/>
        </w:rPr>
        <w:t xml:space="preserve"> that have a wide latitude of portfolio composition change--can also be found in the balanced category.</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Many ETFs included in this category are target date funds. A target date fund differs from a pure balance fund in that its portfolio allocation adjusts as the target date draws near. Specifically, the target date fund’s portfolio reduces its risk (more of the portfolio is shifted out of stocks and into bonds) as the target date approaches.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Global balanced ETFs invest internationally.</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A balanced ETF is generally less volatile than a stock ETF and provides a higher yield.  </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Global Stock and Foreign Stock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Global stock and foreign stock ETFs invest in the stocks of foreign firms. Some stock funds specialize in a single country, others in regions, such as the Pacific or Europe, and others invest in multiple foreign regions. In addition, some stock funds--usually termed "global funds"--invest in both foreign and U.S. securities. Contra Foreign Stock Market ETFs seek to produce a return that is the inverse of how the underlying index performed for a given day. For example, if the underlying index falls 1%, a contra foreign stock market ETF may rise 1%.</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International funds provide investors with added diversification. The most important factor when diversifying a portfolio is selecting investments whose returns are not highly correlated. Within the U.S., investors can diversify by selecting securities of firms in different industries. In the international realm, investors take the diversification process one step further by holding securities of firms in different countries. The more independently these foreign markets move in relation to the U.S. stock market, the greater the diversification benefit will be, and the lower the risk of the total portfolio.</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In addition, international ETFs overcome some of the difficulties investors face in making foreign investments directly. For instance, individuals must thoroughly understand the foreign brokerage process, be familiar with the various foreign marketplaces and their economies, be aware of currency fluctuation trends, and have access to reliable financial information in order to invest directly in foreign stocks. This can be a monumental task for the individual investor.</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There are some risks unique to investing internationally. In addition to the risk inherent in investing in any security, there is an additional exchange rate risk. The return to a U.S. investor from a foreign security depends on both the security's return in its own currency and the rate at which that currency can be exchanged for U.S. dollars. Another uncertainty is political risk, which includes government restriction, taxation, or even total prohibition of the exchange of one currency into another. Of course, the more the exchange-traded fund is diversified among various countries, the less the risk involved.</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Bond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Bond ETFs are attractive to investors because they provide diversification and liquidity, which is not as readily attainable in direct bond investments.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Bond funds have portfolios with a wide range of average maturities. Many funds use their names to characterize their maturity structure. Generally, short term means that the portfolio has a weighted average maturity of less than three years. Intermediate implies an average maturity of three to 10 years, and long term is over 10 years. The longer the maturity, the greater the change in </w:t>
      </w:r>
      <w:r w:rsidRPr="0036360E">
        <w:rPr>
          <w:rFonts w:ascii="Arial" w:eastAsia="Times New Roman" w:hAnsi="Arial" w:cs="Arial"/>
          <w:sz w:val="16"/>
          <w:szCs w:val="16"/>
        </w:rPr>
        <w:lastRenderedPageBreak/>
        <w:t>fund value when interest rates change. Longer-term bond funds are riskier than shorter-term funds, and they usually offer higher yields.</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Taxable Bond Funds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Bond ETFs are principally categorized by the types of bonds they hold.</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Government bond funds invest in the bonds of the U.S. government and its agencies, while mortgage funds invest primarily in mortgage-backed bonds. General bond funds invest in a mix of government and agency bonds, corporate bonds (investment grade), and mortgage-backed bonds. Government and general bond funds are further categorized by maturity: short-term, intermediate-term and long-term.</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A special category of inflation-protected bond ETFs hold Treasury inflation-protected securities (TIPS).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Corporate high-yield bond ETFs provide high income but invest generally in corporate bonds rated below investment grade, making them riskier.</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Convertible bond ETFs invest primarily in preferred stocks and bonds that are convertible into common stocks. These securities exhibit characteristics of both stocks and bonds by offering yield and the possibility of capital appreciation.</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Contra Bond</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 xml:space="preserve">Contra bond ETFs seek to produce a return that is the inverse of how the underlying bond index performed for a given day. For example, if the underlying index falls 1%, a contra bond ETF may rise 1%. A fund labeled “ultrashort,” “2x” or “3x” is intended to produce a return that is 200% or 300% inverse of the underlying index. (If the index falls 1%, these ETFs may rise by 2% or </w:t>
      </w:r>
      <w:proofErr w:type="gramStart"/>
      <w:r w:rsidRPr="0036360E">
        <w:rPr>
          <w:rFonts w:ascii="Arial" w:eastAsia="Times New Roman" w:hAnsi="Arial" w:cs="Arial"/>
          <w:sz w:val="16"/>
          <w:szCs w:val="16"/>
        </w:rPr>
        <w:t>3%</w:t>
      </w:r>
      <w:proofErr w:type="gramEnd"/>
      <w:r w:rsidRPr="0036360E">
        <w:rPr>
          <w:rFonts w:ascii="Arial" w:eastAsia="Times New Roman" w:hAnsi="Arial" w:cs="Arial"/>
          <w:sz w:val="16"/>
          <w:szCs w:val="16"/>
        </w:rPr>
        <w:t>.) These are very aggressive funds and are designed to be used solely on a single day. Holding such funds for longer periods can result in returns that may be worse than expected.</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Municipal and State-Specific Bond Funds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Tax-exempt municipal bond ETFs invest in bonds whose income is exempt from federal income tax. Some tax-exempt funds may invest in municipal bonds whose income is also exempt from the income tax of a specific state.</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International Bond Funds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International bond ETFs allow investors to hold a diversified portfolio of foreign corporate and government bonds. These foreign bonds often offer higher yields, but carry additional risks beyond those of domestic bonds. As with foreign common stocks, currency risk can be as significant as the potential default of foreign government bonds--a particular risk with the debt of emerging countries. International bond funds are categorized as general or emerging.</w:t>
      </w:r>
    </w:p>
    <w:p w:rsidR="0036360E" w:rsidRPr="0036360E" w:rsidRDefault="0036360E" w:rsidP="0036360E">
      <w:pPr>
        <w:spacing w:after="0" w:line="240" w:lineRule="auto"/>
        <w:rPr>
          <w:rFonts w:ascii="Arial" w:eastAsia="Times New Roman" w:hAnsi="Arial" w:cs="Arial"/>
          <w:sz w:val="16"/>
          <w:szCs w:val="16"/>
        </w:rPr>
      </w:pPr>
    </w:p>
    <w:p w:rsidR="0036360E" w:rsidRPr="0036360E" w:rsidRDefault="0036360E" w:rsidP="0036360E">
      <w:pPr>
        <w:spacing w:after="0" w:line="240" w:lineRule="auto"/>
        <w:rPr>
          <w:rFonts w:ascii="Arial" w:eastAsia="Times New Roman" w:hAnsi="Arial" w:cs="Arial"/>
          <w:b/>
          <w:bCs/>
          <w:sz w:val="16"/>
          <w:szCs w:val="16"/>
        </w:rPr>
      </w:pPr>
      <w:r w:rsidRPr="0036360E">
        <w:rPr>
          <w:rFonts w:ascii="Arial" w:eastAsia="Times New Roman" w:hAnsi="Arial" w:cs="Arial"/>
          <w:b/>
          <w:bCs/>
          <w:sz w:val="16"/>
          <w:szCs w:val="16"/>
        </w:rPr>
        <w:t>Currency ETFs</w:t>
      </w:r>
    </w:p>
    <w:p w:rsidR="0036360E" w:rsidRPr="0036360E" w:rsidRDefault="0036360E" w:rsidP="0036360E">
      <w:pPr>
        <w:spacing w:after="0" w:line="240" w:lineRule="auto"/>
        <w:rPr>
          <w:rFonts w:ascii="Arial" w:eastAsia="Times New Roman" w:hAnsi="Arial" w:cs="Arial"/>
          <w:sz w:val="16"/>
          <w:szCs w:val="16"/>
        </w:rPr>
      </w:pPr>
      <w:r w:rsidRPr="0036360E">
        <w:rPr>
          <w:rFonts w:ascii="Arial" w:eastAsia="Times New Roman" w:hAnsi="Arial" w:cs="Arial"/>
          <w:sz w:val="16"/>
          <w:szCs w:val="16"/>
        </w:rPr>
        <w:t>Currency ETFs are designed to track changes in exchange rates between two or more currencies. Most currency funds seek a total return reflective of changes between the U.S. dollar and a foreign currency. Some currency ETFs, however track the changes in exchange rates among several currencies. Exchange rates move independently of stock prices, but can be volatile, are difficult to forecast and may not be suitable for all investors.</w:t>
      </w:r>
    </w:p>
    <w:p w:rsidR="003578CD" w:rsidRDefault="003578CD"/>
    <w:sectPr w:rsidR="003578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763" w:rsidRDefault="00ED0763" w:rsidP="00ED0763">
      <w:pPr>
        <w:spacing w:after="0" w:line="240" w:lineRule="auto"/>
      </w:pPr>
      <w:r>
        <w:separator/>
      </w:r>
    </w:p>
  </w:endnote>
  <w:endnote w:type="continuationSeparator" w:id="0">
    <w:p w:rsidR="00ED0763" w:rsidRDefault="00ED0763" w:rsidP="00ED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763" w:rsidRDefault="00ED0763" w:rsidP="00ED0763">
      <w:pPr>
        <w:spacing w:after="0" w:line="240" w:lineRule="auto"/>
      </w:pPr>
      <w:r>
        <w:separator/>
      </w:r>
    </w:p>
  </w:footnote>
  <w:footnote w:type="continuationSeparator" w:id="0">
    <w:p w:rsidR="00ED0763" w:rsidRDefault="00ED0763" w:rsidP="00ED0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0E"/>
    <w:rsid w:val="002D58F8"/>
    <w:rsid w:val="003578CD"/>
    <w:rsid w:val="0036360E"/>
    <w:rsid w:val="00AD334E"/>
    <w:rsid w:val="00C52E96"/>
    <w:rsid w:val="00ED0763"/>
    <w:rsid w:val="00F4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4B3C70-FEFB-43A6-A89C-7B4EC443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63"/>
  </w:style>
  <w:style w:type="paragraph" w:styleId="Footer">
    <w:name w:val="footer"/>
    <w:basedOn w:val="Normal"/>
    <w:link w:val="FooterChar"/>
    <w:uiPriority w:val="99"/>
    <w:unhideWhenUsed/>
    <w:rsid w:val="00ED0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4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3F894-C859-4970-AD24-53A1D944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2280</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Henrich</dc:creator>
  <cp:keywords/>
  <dc:description/>
  <cp:lastModifiedBy>Annie Prada</cp:lastModifiedBy>
  <cp:revision>4</cp:revision>
  <dcterms:created xsi:type="dcterms:W3CDTF">2015-07-29T18:19:00Z</dcterms:created>
  <dcterms:modified xsi:type="dcterms:W3CDTF">2015-07-31T16:33:00Z</dcterms:modified>
</cp:coreProperties>
</file>