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60E" w:rsidRPr="0080526B" w:rsidRDefault="0036360E" w:rsidP="00F434F1">
      <w:pPr>
        <w:spacing w:after="0" w:line="240" w:lineRule="auto"/>
        <w:jc w:val="center"/>
        <w:rPr>
          <w:rFonts w:ascii="Arial" w:eastAsia="Times New Roman" w:hAnsi="Arial" w:cs="Arial"/>
          <w:b/>
          <w:bCs/>
          <w:sz w:val="32"/>
          <w:szCs w:val="24"/>
        </w:rPr>
      </w:pPr>
      <w:r w:rsidRPr="0080526B">
        <w:rPr>
          <w:rFonts w:ascii="Arial" w:eastAsia="Times New Roman" w:hAnsi="Arial" w:cs="Arial"/>
          <w:b/>
          <w:bCs/>
          <w:sz w:val="32"/>
          <w:szCs w:val="24"/>
        </w:rPr>
        <w:t>Exchange-Traded Fund Categories</w:t>
      </w:r>
    </w:p>
    <w:p w:rsidR="0036360E" w:rsidRPr="0080526B" w:rsidRDefault="0036360E" w:rsidP="0036360E">
      <w:pPr>
        <w:spacing w:after="0" w:line="240" w:lineRule="auto"/>
        <w:rPr>
          <w:rFonts w:ascii="Arial" w:eastAsia="Times New Roman" w:hAnsi="Arial" w:cs="Arial"/>
          <w:b/>
          <w:bCs/>
          <w:sz w:val="24"/>
          <w:szCs w:val="24"/>
        </w:rPr>
      </w:pPr>
    </w:p>
    <w:p w:rsidR="0080526B" w:rsidRPr="0080526B" w:rsidRDefault="0080526B" w:rsidP="0080526B">
      <w:pPr>
        <w:spacing w:after="0" w:line="240" w:lineRule="auto"/>
        <w:rPr>
          <w:b/>
          <w:sz w:val="24"/>
          <w:szCs w:val="24"/>
        </w:rPr>
      </w:pPr>
      <w:r w:rsidRPr="0080526B">
        <w:rPr>
          <w:b/>
          <w:sz w:val="24"/>
          <w:szCs w:val="24"/>
        </w:rPr>
        <w:t>Exchange-Traded Fund Categories</w:t>
      </w:r>
    </w:p>
    <w:p w:rsidR="0080526B" w:rsidRPr="0080526B" w:rsidRDefault="0080526B" w:rsidP="0080526B">
      <w:pPr>
        <w:spacing w:after="0" w:line="240" w:lineRule="auto"/>
        <w:rPr>
          <w:sz w:val="24"/>
          <w:szCs w:val="24"/>
        </w:rPr>
      </w:pPr>
      <w:r w:rsidRPr="0080526B">
        <w:rPr>
          <w:sz w:val="24"/>
          <w:szCs w:val="24"/>
        </w:rPr>
        <w:t>Exchange-traded funds (ETFs) are growing in number and track a variety of indexes. Many ETFs, however, have shared investments that generally lead to other characteristics that are similar.</w:t>
      </w:r>
    </w:p>
    <w:p w:rsidR="0080526B" w:rsidRPr="0080526B" w:rsidRDefault="0080526B" w:rsidP="0080526B">
      <w:pPr>
        <w:spacing w:after="0" w:line="240" w:lineRule="auto"/>
        <w:rPr>
          <w:sz w:val="24"/>
          <w:szCs w:val="24"/>
        </w:rPr>
      </w:pPr>
      <w:r w:rsidRPr="0080526B">
        <w:rPr>
          <w:sz w:val="24"/>
          <w:szCs w:val="24"/>
        </w:rPr>
        <w:t>These shared characteristics allow us to divide exchange-traded funds into categories; here we define the ETF categories used in AAII's Guide to Exchange-Traded Funds. In the guide, the individual fund listings appear alphabetically within each category.</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Stock ETFs</w:t>
      </w:r>
    </w:p>
    <w:p w:rsidR="0080526B" w:rsidRPr="0080526B" w:rsidRDefault="0080526B" w:rsidP="0080526B">
      <w:pPr>
        <w:spacing w:after="0" w:line="240" w:lineRule="auto"/>
        <w:rPr>
          <w:sz w:val="24"/>
          <w:szCs w:val="24"/>
        </w:rPr>
      </w:pPr>
      <w:r w:rsidRPr="0080526B">
        <w:rPr>
          <w:sz w:val="24"/>
          <w:szCs w:val="24"/>
        </w:rPr>
        <w:t>ETFs that invest in common stocks typically follow indexes based on market capitalization, country, style, sector, industry or a combination of these characteristics. The underlying index may either be well known, such as the S&amp;P 500, or one that has been created for the fund to follow. Over the stock market cycles, large stocks behave differently from small stocks, domestic stocks do not move in unison with foreign or emerging market stocks, and stocks in different sectors or industries react differently to the same economic and business conditions.</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r w:rsidRPr="0080526B">
        <w:rPr>
          <w:sz w:val="24"/>
          <w:szCs w:val="24"/>
        </w:rPr>
        <w:t>For investors to make initial investment decisions on stock-based ETFs and to compare and evaluate the ongoing performance of investments in stock-based ETFs, grouping similar funds together into cohesive categories is a logical first step.</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Large-Cap Stock</w:t>
      </w:r>
    </w:p>
    <w:p w:rsidR="0080526B" w:rsidRPr="0080526B" w:rsidRDefault="0080526B" w:rsidP="0080526B">
      <w:pPr>
        <w:spacing w:after="0" w:line="240" w:lineRule="auto"/>
        <w:rPr>
          <w:sz w:val="24"/>
          <w:szCs w:val="24"/>
        </w:rPr>
      </w:pPr>
      <w:r w:rsidRPr="0080526B">
        <w:rPr>
          <w:sz w:val="24"/>
          <w:szCs w:val="24"/>
        </w:rPr>
        <w:t xml:space="preserve">In funds categorized by stock size, the "cap" stands for capitalization (market share price </w:t>
      </w:r>
      <w:proofErr w:type="gramStart"/>
      <w:r w:rsidRPr="0080526B">
        <w:rPr>
          <w:sz w:val="24"/>
          <w:szCs w:val="24"/>
        </w:rPr>
        <w:t>times</w:t>
      </w:r>
      <w:proofErr w:type="gramEnd"/>
      <w:r w:rsidRPr="0080526B">
        <w:rPr>
          <w:sz w:val="24"/>
          <w:szCs w:val="24"/>
        </w:rPr>
        <w:t xml:space="preserve"> number of shares of common stock outstanding).</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r w:rsidRPr="0080526B">
        <w:rPr>
          <w:sz w:val="24"/>
          <w:szCs w:val="24"/>
        </w:rPr>
        <w:t>Large-cap stocks are usually stocks of national or multinational firms with well-known products or services provided to consumers, other businesses, or governments. Most of the stocks in the Dow Jones industrial average, the S&amp;P 500 and the NASDAQ 100 are, for example, large-cap stocks. While some large-cap stocks are more volatile than others, a well-diversified ETF portfolio of large-cap stocks would perform similarly to most investors' conception of the stock market. Large-cap stocks, as a category, also tend to pay the highest cash dividends, although many large-cap stocks pay no dividends. Large-cap stock funds, in summary, tend to have the lowest volatility and highest dividend yield in the domestic common stock group.</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Mid-Cap Stock</w:t>
      </w:r>
    </w:p>
    <w:p w:rsidR="0080526B" w:rsidRPr="0080526B" w:rsidRDefault="0080526B" w:rsidP="0080526B">
      <w:pPr>
        <w:spacing w:after="0" w:line="240" w:lineRule="auto"/>
        <w:rPr>
          <w:sz w:val="24"/>
          <w:szCs w:val="24"/>
        </w:rPr>
      </w:pPr>
      <w:r w:rsidRPr="0080526B">
        <w:rPr>
          <w:sz w:val="24"/>
          <w:szCs w:val="24"/>
        </w:rPr>
        <w:t xml:space="preserve">Mid-cap stocks are, as their name implies, smaller than the largest domestic stocks. They are usually established firms in established industries with regional, national and sometimes international markets for their products and services. The S&amp;P </w:t>
      </w:r>
      <w:proofErr w:type="spellStart"/>
      <w:r w:rsidRPr="0080526B">
        <w:rPr>
          <w:sz w:val="24"/>
          <w:szCs w:val="24"/>
        </w:rPr>
        <w:t>MidCap</w:t>
      </w:r>
      <w:proofErr w:type="spellEnd"/>
      <w:r w:rsidRPr="0080526B">
        <w:rPr>
          <w:sz w:val="24"/>
          <w:szCs w:val="24"/>
        </w:rPr>
        <w:t xml:space="preserve"> 400 index is the best-known benchmark for mid-cap stocks. These ETFs would tend to have lower dividend yields than large-cap funds and to have somewhat higher volatility.</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Small-Cap Stock</w:t>
      </w:r>
    </w:p>
    <w:p w:rsidR="0080526B" w:rsidRPr="0080526B" w:rsidRDefault="0080526B" w:rsidP="0080526B">
      <w:pPr>
        <w:spacing w:after="0" w:line="240" w:lineRule="auto"/>
        <w:rPr>
          <w:sz w:val="24"/>
          <w:szCs w:val="24"/>
        </w:rPr>
      </w:pPr>
      <w:r w:rsidRPr="0080526B">
        <w:rPr>
          <w:sz w:val="24"/>
          <w:szCs w:val="24"/>
        </w:rPr>
        <w:t xml:space="preserve">Small-cap stocks are often emerging firms in sometimes emerging industries. But also, these small companies can be established firms with local, regional and sometimes even national and </w:t>
      </w:r>
      <w:r w:rsidRPr="0080526B">
        <w:rPr>
          <w:sz w:val="24"/>
          <w:szCs w:val="24"/>
        </w:rPr>
        <w:lastRenderedPageBreak/>
        <w:t xml:space="preserve">international markets. The most well-known benchmark for this group is the S&amp;P </w:t>
      </w:r>
      <w:proofErr w:type="spellStart"/>
      <w:r w:rsidRPr="0080526B">
        <w:rPr>
          <w:sz w:val="24"/>
          <w:szCs w:val="24"/>
        </w:rPr>
        <w:t>SmallCap</w:t>
      </w:r>
      <w:proofErr w:type="spellEnd"/>
      <w:r w:rsidRPr="0080526B">
        <w:rPr>
          <w:sz w:val="24"/>
          <w:szCs w:val="24"/>
        </w:rPr>
        <w:t xml:space="preserve"> 600 index. These stocks must have liquid enough trading for ETFs to invest and, although small, are still listed on the New York Stock Exchange, the American Stock Exchange or NASDAQ. Small-cap ETFs tend to be more volatile than large-cap and mid-cap ETFs, have very low dividend yields, and often do not move in tandem with large-cap and mid-cap funds.</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Micro-Cap Stock</w:t>
      </w:r>
    </w:p>
    <w:p w:rsidR="0080526B" w:rsidRPr="0080526B" w:rsidRDefault="0080526B" w:rsidP="0080526B">
      <w:pPr>
        <w:spacing w:after="0" w:line="240" w:lineRule="auto"/>
        <w:rPr>
          <w:sz w:val="24"/>
          <w:szCs w:val="24"/>
        </w:rPr>
      </w:pPr>
      <w:r w:rsidRPr="0080526B">
        <w:rPr>
          <w:sz w:val="24"/>
          <w:szCs w:val="24"/>
        </w:rPr>
        <w:t>Micro-cap stocks are also often emerging firms in sometimes emerging industries, but have comparatively lower market capitalizations (total shares outstanding times price). These stocks can be traded less frequently, though the ones selected for inclusion within an index must have enough volume for ETFs to invest in. These micro-cap funds tend to be more volatile than large-cap and mid-cap ETFs, have very low dividend yields, and often do not move in tandem with large-cap and mid-cap funds.</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Preferred Stock</w:t>
      </w:r>
    </w:p>
    <w:p w:rsidR="0080526B" w:rsidRPr="0080526B" w:rsidRDefault="0080526B" w:rsidP="0080526B">
      <w:pPr>
        <w:spacing w:after="0" w:line="240" w:lineRule="auto"/>
        <w:rPr>
          <w:sz w:val="24"/>
          <w:szCs w:val="24"/>
        </w:rPr>
      </w:pPr>
      <w:r w:rsidRPr="0080526B">
        <w:rPr>
          <w:sz w:val="24"/>
          <w:szCs w:val="24"/>
        </w:rPr>
        <w:t>Preferred stocks are a hybrid security. Preferred shareholders receive quarterly dividends, but lack most of the voting rights that common stock shareholders have. Dividends on the preferred stock must be paid before dividends on common stock are. If a dividend payment on preferred stock is missed, the dividend payments accrue indefinitely until paid. In the event of bankruptcy, the interests of preferred stock shareholders come before common stock shareholders, but after the interests of bondholders. Prices of preferred shares are influenced both by interest rate fluctuations and the profitability of the issuer. Therefore, they do not necessarily move in tandem with either bonds or common stock.</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proofErr w:type="spellStart"/>
      <w:r w:rsidRPr="0080526B">
        <w:rPr>
          <w:b/>
          <w:sz w:val="24"/>
          <w:szCs w:val="24"/>
        </w:rPr>
        <w:t>Ultra Market</w:t>
      </w:r>
      <w:proofErr w:type="spellEnd"/>
      <w:r w:rsidRPr="0080526B">
        <w:rPr>
          <w:b/>
          <w:sz w:val="24"/>
          <w:szCs w:val="24"/>
        </w:rPr>
        <w:t xml:space="preserve"> (Long)</w:t>
      </w:r>
    </w:p>
    <w:p w:rsidR="0080526B" w:rsidRPr="0080526B" w:rsidRDefault="0080526B" w:rsidP="0080526B">
      <w:pPr>
        <w:spacing w:after="0" w:line="240" w:lineRule="auto"/>
        <w:rPr>
          <w:sz w:val="24"/>
          <w:szCs w:val="24"/>
        </w:rPr>
      </w:pPr>
      <w:proofErr w:type="spellStart"/>
      <w:r w:rsidRPr="0080526B">
        <w:rPr>
          <w:sz w:val="24"/>
          <w:szCs w:val="24"/>
        </w:rPr>
        <w:t>Ultra market</w:t>
      </w:r>
      <w:proofErr w:type="spellEnd"/>
      <w:r w:rsidRPr="0080526B">
        <w:rPr>
          <w:sz w:val="24"/>
          <w:szCs w:val="24"/>
        </w:rPr>
        <w:t xml:space="preserve"> ETFs seek to produce a return that is two-to-three times higher than the underlying index for a specific day. For example, if the underlying index rises 1%, an </w:t>
      </w:r>
      <w:proofErr w:type="spellStart"/>
      <w:r w:rsidRPr="0080526B">
        <w:rPr>
          <w:sz w:val="24"/>
          <w:szCs w:val="24"/>
        </w:rPr>
        <w:t>ultra market</w:t>
      </w:r>
      <w:proofErr w:type="spellEnd"/>
      <w:r w:rsidRPr="0080526B">
        <w:rPr>
          <w:sz w:val="24"/>
          <w:szCs w:val="24"/>
        </w:rPr>
        <w:t xml:space="preserve"> ETF may rise 2%. These are very aggressive funds and are designed to be used for short periods of time. Holding such funds for longer periods can result in returns that may be worse than expected.</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Long-Short</w:t>
      </w:r>
    </w:p>
    <w:p w:rsidR="0080526B" w:rsidRPr="0080526B" w:rsidRDefault="0080526B" w:rsidP="0080526B">
      <w:pPr>
        <w:spacing w:after="0" w:line="240" w:lineRule="auto"/>
        <w:rPr>
          <w:sz w:val="24"/>
          <w:szCs w:val="24"/>
        </w:rPr>
      </w:pPr>
      <w:r w:rsidRPr="0080526B">
        <w:rPr>
          <w:sz w:val="24"/>
          <w:szCs w:val="24"/>
        </w:rPr>
        <w:t>These ETFs follow one of two strategies. The first is to use both long and short exposures in an attempt to profit from the market’s volatility. The second is to use options, such as covered calls, to produce a stream of income that is not tied to the market’s fortunes.</w:t>
      </w:r>
    </w:p>
    <w:p w:rsidR="0080526B" w:rsidRPr="0080526B" w:rsidRDefault="0080526B" w:rsidP="0080526B">
      <w:pPr>
        <w:spacing w:after="0" w:line="240" w:lineRule="auto"/>
        <w:rPr>
          <w:sz w:val="24"/>
          <w:szCs w:val="24"/>
        </w:rPr>
      </w:pPr>
    </w:p>
    <w:p w:rsidR="0080526B" w:rsidRDefault="0080526B" w:rsidP="0080526B">
      <w:pPr>
        <w:spacing w:after="0" w:line="240" w:lineRule="auto"/>
        <w:rPr>
          <w:sz w:val="24"/>
          <w:szCs w:val="24"/>
        </w:rPr>
      </w:pPr>
      <w:r w:rsidRPr="0080526B">
        <w:rPr>
          <w:sz w:val="24"/>
          <w:szCs w:val="24"/>
        </w:rPr>
        <w:t>Long-short funds hold sizable stakes in both long and short positions. Some funds are market neutral, dividing their exposure equally between long and short positions in an attempt to earn a modest return that is not tied to the market's fortunes. Others shift exposure to long and short positions depending upon their macro outlook or the opportunities they uncover through bottom-up research.</w:t>
      </w:r>
    </w:p>
    <w:p w:rsid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p>
    <w:p w:rsidR="0080526B" w:rsidRDefault="0080526B" w:rsidP="0080526B">
      <w:pPr>
        <w:spacing w:after="0" w:line="240" w:lineRule="auto"/>
        <w:rPr>
          <w:b/>
          <w:sz w:val="24"/>
          <w:szCs w:val="24"/>
        </w:rPr>
      </w:pPr>
    </w:p>
    <w:p w:rsidR="0080526B" w:rsidRPr="0080526B" w:rsidRDefault="0080526B" w:rsidP="0080526B">
      <w:pPr>
        <w:spacing w:after="0" w:line="240" w:lineRule="auto"/>
        <w:rPr>
          <w:b/>
          <w:sz w:val="24"/>
          <w:szCs w:val="24"/>
        </w:rPr>
      </w:pPr>
      <w:r w:rsidRPr="0080526B">
        <w:rPr>
          <w:b/>
          <w:sz w:val="24"/>
          <w:szCs w:val="24"/>
        </w:rPr>
        <w:lastRenderedPageBreak/>
        <w:t>Contra Stock Market</w:t>
      </w:r>
    </w:p>
    <w:p w:rsidR="0080526B" w:rsidRPr="0080526B" w:rsidRDefault="0080526B" w:rsidP="0080526B">
      <w:pPr>
        <w:spacing w:after="0" w:line="240" w:lineRule="auto"/>
        <w:rPr>
          <w:sz w:val="24"/>
          <w:szCs w:val="24"/>
        </w:rPr>
      </w:pPr>
      <w:r w:rsidRPr="0080526B">
        <w:rPr>
          <w:sz w:val="24"/>
          <w:szCs w:val="24"/>
        </w:rPr>
        <w:t xml:space="preserve">Contra market ETFs seek to produce a return that is the inverse of how the underlying index performed for a given day. For example, if the underlying index falls 1%, a contra stock market ETF may rise 1%. A fund labeled “double,” “2x” or “3x” is intended to produce a return that is two-to-three times inverse of the underlying index. (If the index falls 1%, these ETFs may rise by 2% or </w:t>
      </w:r>
      <w:proofErr w:type="gramStart"/>
      <w:r w:rsidRPr="0080526B">
        <w:rPr>
          <w:sz w:val="24"/>
          <w:szCs w:val="24"/>
        </w:rPr>
        <w:t>3%</w:t>
      </w:r>
      <w:proofErr w:type="gramEnd"/>
      <w:r w:rsidRPr="0080526B">
        <w:rPr>
          <w:sz w:val="24"/>
          <w:szCs w:val="24"/>
        </w:rPr>
        <w:t>.) Contra stock market funds invest in short stock positions and derivatives. These are very aggressive funds and are designed to be used for short periods of time. Holding such funds for longer periods can result in returns that may be worse than expected.</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Market Volatility</w:t>
      </w:r>
    </w:p>
    <w:p w:rsidR="0080526B" w:rsidRPr="0080526B" w:rsidRDefault="0080526B" w:rsidP="0080526B">
      <w:pPr>
        <w:spacing w:after="0" w:line="240" w:lineRule="auto"/>
        <w:rPr>
          <w:sz w:val="24"/>
          <w:szCs w:val="24"/>
        </w:rPr>
      </w:pPr>
      <w:r w:rsidRPr="0080526B">
        <w:rPr>
          <w:sz w:val="24"/>
          <w:szCs w:val="24"/>
        </w:rPr>
        <w:t>Market volatility ETFs have performance tied to the movement of a volatility index such as the VIX. The VIX (the Chicago Board Options Exchange Market Volatility Index) measures the implied volatility of S&amp;P 500 index options. The VIX is a hypothetical measure of volatility based on metrics involving options trades and expectations of stock market volatility over the next 30 day period. The VIX tends to climb when anxiety over the short-term outlook for equity market increases and falls when stock market goes up. These are very aggressive funds and are designed to be used for short periods of time. Holding such funds for longer periods can result in returns that may be worse than expected.</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Sector Stock</w:t>
      </w:r>
    </w:p>
    <w:p w:rsidR="0080526B" w:rsidRPr="0080526B" w:rsidRDefault="0080526B" w:rsidP="0080526B">
      <w:pPr>
        <w:spacing w:after="0" w:line="240" w:lineRule="auto"/>
        <w:rPr>
          <w:sz w:val="24"/>
          <w:szCs w:val="24"/>
        </w:rPr>
      </w:pPr>
      <w:r w:rsidRPr="0080526B">
        <w:rPr>
          <w:sz w:val="24"/>
          <w:szCs w:val="24"/>
        </w:rPr>
        <w:t>Sector ETFs concentrate their stock holdings in just one industry or a few related industries. They are diversified within the sector, but are not broadly diversified. They may invest in the U.S. or internationally. They are still influenced and react to industry/sector factors as well as general stock market factors. Sector funds have greater risk than diversified common stock funds. As is clear from this sector category list, some sectors are of greater risk than others--technology versus utilities, for example. By definition, a sector fund is a concentrated, not diversified, fund holding.</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Commodities ETFs</w:t>
      </w:r>
    </w:p>
    <w:p w:rsidR="0080526B" w:rsidRDefault="0080526B" w:rsidP="0080526B">
      <w:pPr>
        <w:spacing w:after="0" w:line="240" w:lineRule="auto"/>
        <w:rPr>
          <w:sz w:val="24"/>
          <w:szCs w:val="24"/>
        </w:rPr>
      </w:pPr>
      <w:r w:rsidRPr="0080526B">
        <w:rPr>
          <w:sz w:val="24"/>
          <w:szCs w:val="24"/>
        </w:rPr>
        <w:t xml:space="preserve">Commodities ETFs and ETNs track the price movement of physical commodities, including metals, oil, natural gas, and grains. These funds may either invest in the physical commodity (typically via a trust that actually holds the commodity) or through the use of futures contracts. ETNs are debt securities and the credit rating of the issuing firm must be taken into consideration. Commodities move independently of stocks as their prices can be impacted by global politics, weather patterns and labor rest, as well as the state of the economy. </w:t>
      </w:r>
    </w:p>
    <w:p w:rsidR="0080526B" w:rsidRDefault="0080526B" w:rsidP="0080526B">
      <w:pPr>
        <w:spacing w:after="0" w:line="240" w:lineRule="auto"/>
        <w:rPr>
          <w:sz w:val="24"/>
          <w:szCs w:val="24"/>
        </w:rPr>
      </w:pPr>
    </w:p>
    <w:p w:rsidR="0080526B" w:rsidRDefault="0080526B" w:rsidP="0080526B">
      <w:pPr>
        <w:spacing w:after="0" w:line="240" w:lineRule="auto"/>
        <w:rPr>
          <w:sz w:val="24"/>
          <w:szCs w:val="24"/>
        </w:rPr>
      </w:pPr>
      <w:r w:rsidRPr="0080526B">
        <w:rPr>
          <w:sz w:val="24"/>
          <w:szCs w:val="24"/>
        </w:rPr>
        <w:t>Commodities can appreciate when inflation is strong and depreciate during deflationary periods. Commodity investments should account for no more than a small percentage of one’s portfolio. Contra Commodities Market ETFs seek to produce a return that is the inverse of how the underlying index performed for a given day. For example, if the underlying index falls 1%, a contra commodities market ETF may rise 1%.</w:t>
      </w:r>
    </w:p>
    <w:p w:rsid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lastRenderedPageBreak/>
        <w:t>Balanced ETFs</w:t>
      </w:r>
    </w:p>
    <w:p w:rsidR="0080526B" w:rsidRPr="0080526B" w:rsidRDefault="0080526B" w:rsidP="0080526B">
      <w:pPr>
        <w:spacing w:after="0" w:line="240" w:lineRule="auto"/>
        <w:rPr>
          <w:sz w:val="24"/>
          <w:szCs w:val="24"/>
        </w:rPr>
      </w:pPr>
      <w:r w:rsidRPr="0080526B">
        <w:rPr>
          <w:sz w:val="24"/>
          <w:szCs w:val="24"/>
        </w:rPr>
        <w:t>In general, the portfolios of balanced ETFs consist of investments in common stocks and significant investments in bonds and convertible securities. The range as a percentage of the total portfolio of stocks and bonds is usually stated in the investment objective, and the portfolio manager has the option of allocating the proportions within the range. Some asset allocation funds--</w:t>
      </w:r>
      <w:proofErr w:type="spellStart"/>
      <w:r w:rsidRPr="0080526B">
        <w:rPr>
          <w:sz w:val="24"/>
          <w:szCs w:val="24"/>
        </w:rPr>
        <w:t>funds</w:t>
      </w:r>
      <w:proofErr w:type="spellEnd"/>
      <w:r w:rsidRPr="0080526B">
        <w:rPr>
          <w:sz w:val="24"/>
          <w:szCs w:val="24"/>
        </w:rPr>
        <w:t xml:space="preserve"> that have a wide latitude of portfolio composition change--can also be found in the balanced category.</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r w:rsidRPr="0080526B">
        <w:rPr>
          <w:sz w:val="24"/>
          <w:szCs w:val="24"/>
        </w:rPr>
        <w:t>Many ETFs included in this category are target date funds. A target date fund differs from a pure balance fund in that its portfolio allocation adjusts as the target date draws near. Specifically, the target date fund’s portfolio reduces its risk (more of the portfolio is shifted out of stocks and into bonds) as the target date approaches.</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r w:rsidRPr="0080526B">
        <w:rPr>
          <w:sz w:val="24"/>
          <w:szCs w:val="24"/>
        </w:rPr>
        <w:t>Global balanced ETFs invest internationally.</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r w:rsidRPr="0080526B">
        <w:rPr>
          <w:sz w:val="24"/>
          <w:szCs w:val="24"/>
        </w:rPr>
        <w:t xml:space="preserve">A balanced ETF is generally less volatile than a stock ETF and provides a higher yield.  </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Global Stock and Foreign Stock ETFs</w:t>
      </w:r>
    </w:p>
    <w:p w:rsidR="0080526B" w:rsidRDefault="0080526B" w:rsidP="0080526B">
      <w:pPr>
        <w:spacing w:after="0" w:line="240" w:lineRule="auto"/>
        <w:rPr>
          <w:sz w:val="24"/>
          <w:szCs w:val="24"/>
        </w:rPr>
      </w:pPr>
      <w:r w:rsidRPr="0080526B">
        <w:rPr>
          <w:sz w:val="24"/>
          <w:szCs w:val="24"/>
        </w:rPr>
        <w:t>Global stock and foreign stock ETFs invest in the stocks of foreign firms. Some stock funds specialize in a single country, others in regions, such as the Pacific or Europe, and others invest in multiple foreign regions. In addition, some stock funds--usually termed "global funds"--invest in both foreign and U.S. securities. Contra Foreign Stock Market ETFs seek to produce a return that is the inverse of how the underlying index performed for a given day. For example, if the underlying index falls 1%, a contra foreign stock market ETF may rise 1%.</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r w:rsidRPr="0080526B">
        <w:rPr>
          <w:sz w:val="24"/>
          <w:szCs w:val="24"/>
        </w:rPr>
        <w:t>International funds provide investors with added diversification. The most important factor when diversifying a portfolio is selecting investments whose returns are not highly correlated. Within the U.S., investors can diversify by selecting securities of firms in different industries. In the international realm, investors take the diversification process one step further by holding securities of firms in different countries. The more independently these foreign markets move in relation to the U.S. stock market, the greater the diversification benefit will be, and the lower the risk of the total portfolio.</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r w:rsidRPr="0080526B">
        <w:rPr>
          <w:sz w:val="24"/>
          <w:szCs w:val="24"/>
        </w:rPr>
        <w:t>In addition, international ETFs overcome some of the difficulties investors face in making foreign investments directly. For instance, individuals must thoroughly understand the foreign brokerage process, be familiar with the various foreign marketplaces and their economies, be aware of currency fluctuation trends, and have access to reliable financial information in order to invest directly in foreign stocks. This can be a monumental task for the individual investor.</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r w:rsidRPr="0080526B">
        <w:rPr>
          <w:sz w:val="24"/>
          <w:szCs w:val="24"/>
        </w:rPr>
        <w:t xml:space="preserve">There are some risks unique to investing internationally. In addition to the risk inherent in investing in any security, there is an additional exchange rate risk. The return to a U.S. investor from a foreign security depends on both the security's return in its own currency and the rate at which that currency can be exchanged for U.S. dollars. Another uncertainty is political risk, which includes government restriction, taxation, or even total prohibition of the exchange of </w:t>
      </w:r>
      <w:r w:rsidRPr="0080526B">
        <w:rPr>
          <w:sz w:val="24"/>
          <w:szCs w:val="24"/>
        </w:rPr>
        <w:lastRenderedPageBreak/>
        <w:t>one currency into another. Of course, the more the exchange-traded fund is diversified among various countries, the less the risk involved.</w:t>
      </w:r>
    </w:p>
    <w:p w:rsidR="0080526B" w:rsidRDefault="0080526B" w:rsidP="0080526B">
      <w:pPr>
        <w:spacing w:after="0" w:line="240" w:lineRule="auto"/>
        <w:rPr>
          <w:b/>
          <w:sz w:val="24"/>
          <w:szCs w:val="24"/>
        </w:rPr>
      </w:pPr>
    </w:p>
    <w:p w:rsidR="0080526B" w:rsidRPr="0080526B" w:rsidRDefault="0080526B" w:rsidP="0080526B">
      <w:pPr>
        <w:spacing w:after="0" w:line="240" w:lineRule="auto"/>
        <w:rPr>
          <w:b/>
          <w:sz w:val="24"/>
          <w:szCs w:val="24"/>
        </w:rPr>
      </w:pPr>
      <w:r w:rsidRPr="0080526B">
        <w:rPr>
          <w:b/>
          <w:sz w:val="24"/>
          <w:szCs w:val="24"/>
        </w:rPr>
        <w:t>Bond ETFs</w:t>
      </w:r>
    </w:p>
    <w:p w:rsidR="0080526B" w:rsidRPr="0080526B" w:rsidRDefault="0080526B" w:rsidP="0080526B">
      <w:pPr>
        <w:spacing w:after="0" w:line="240" w:lineRule="auto"/>
        <w:rPr>
          <w:sz w:val="24"/>
          <w:szCs w:val="24"/>
        </w:rPr>
      </w:pPr>
      <w:r w:rsidRPr="0080526B">
        <w:rPr>
          <w:sz w:val="24"/>
          <w:szCs w:val="24"/>
        </w:rPr>
        <w:t>Bond ETFs are attractive to investors because they provide diversification and liquidity, which is not as readily attainable in direct bond investments.</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r w:rsidRPr="0080526B">
        <w:rPr>
          <w:sz w:val="24"/>
          <w:szCs w:val="24"/>
        </w:rPr>
        <w:t>Bond funds have portfolios with a wide range of average maturities. Many funds use their names to characterize their maturity structure. Generally, short term means that the portfolio has a weighted average maturity of less than three years. Intermediate implies an average maturity of three to 10 years, and long term is over 10 years. The longer the maturity, the greater the change in fund value when interest rates change. Longer-term bond funds are riskier than shorter-term funds, and they usually offer higher yields.</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Taxable Bond Funds</w:t>
      </w:r>
    </w:p>
    <w:p w:rsidR="0080526B" w:rsidRPr="0080526B" w:rsidRDefault="0080526B" w:rsidP="0080526B">
      <w:pPr>
        <w:spacing w:after="0" w:line="240" w:lineRule="auto"/>
        <w:rPr>
          <w:sz w:val="24"/>
          <w:szCs w:val="24"/>
        </w:rPr>
      </w:pPr>
      <w:r w:rsidRPr="0080526B">
        <w:rPr>
          <w:sz w:val="24"/>
          <w:szCs w:val="24"/>
        </w:rPr>
        <w:t>Bond ETFs are principally categorized by the types of bonds they hold.</w:t>
      </w:r>
    </w:p>
    <w:p w:rsidR="0080526B" w:rsidRPr="0080526B" w:rsidRDefault="0080526B" w:rsidP="0080526B">
      <w:pPr>
        <w:spacing w:after="0" w:line="240" w:lineRule="auto"/>
        <w:rPr>
          <w:sz w:val="24"/>
          <w:szCs w:val="24"/>
        </w:rPr>
      </w:pPr>
    </w:p>
    <w:p w:rsidR="0080526B" w:rsidRDefault="0080526B" w:rsidP="0080526B">
      <w:pPr>
        <w:spacing w:after="0" w:line="240" w:lineRule="auto"/>
        <w:rPr>
          <w:sz w:val="24"/>
          <w:szCs w:val="24"/>
        </w:rPr>
      </w:pPr>
      <w:r w:rsidRPr="0080526B">
        <w:rPr>
          <w:sz w:val="24"/>
          <w:szCs w:val="24"/>
        </w:rPr>
        <w:t>Government bond funds invest in the bonds of the U.S. government and its agencies, while mortgage funds invest primarily in mortgage-backed bonds. General bond funds invest in a mix of government and agency bonds, corporate bonds (investment grade), and mortgage-backed bonds. Government and general bond funds are further categorized by maturity: short-term, intermediate-term and long-term.</w:t>
      </w:r>
    </w:p>
    <w:p w:rsidR="0080526B" w:rsidRPr="0080526B" w:rsidRDefault="0080526B" w:rsidP="0080526B">
      <w:pPr>
        <w:spacing w:after="0" w:line="240" w:lineRule="auto"/>
        <w:rPr>
          <w:sz w:val="24"/>
          <w:szCs w:val="24"/>
        </w:rPr>
      </w:pPr>
    </w:p>
    <w:p w:rsidR="0080526B" w:rsidRDefault="0080526B" w:rsidP="0080526B">
      <w:pPr>
        <w:spacing w:after="0" w:line="240" w:lineRule="auto"/>
        <w:rPr>
          <w:sz w:val="24"/>
          <w:szCs w:val="24"/>
        </w:rPr>
      </w:pPr>
      <w:r w:rsidRPr="0080526B">
        <w:rPr>
          <w:sz w:val="24"/>
          <w:szCs w:val="24"/>
        </w:rPr>
        <w:t>A special category of inflation-protected bond ETFs hold Treasury inflation-protected securities (TIPS).</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r w:rsidRPr="0080526B">
        <w:rPr>
          <w:sz w:val="24"/>
          <w:szCs w:val="24"/>
        </w:rPr>
        <w:t>Corporate high-yield bond ETFs provide high income but invest generally in corporate bonds rated below investment grade, making them riskier.</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r w:rsidRPr="0080526B">
        <w:rPr>
          <w:sz w:val="24"/>
          <w:szCs w:val="24"/>
        </w:rPr>
        <w:t>Convertible bond ETFs invest primarily in preferred stocks and bonds that are convertible into common stocks. These securities exhibit characteristics of both stocks and bonds by offering yield and the possibility of capital appreciation.</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Contra Bond</w:t>
      </w:r>
    </w:p>
    <w:p w:rsidR="0080526B" w:rsidRPr="0080526B" w:rsidRDefault="0080526B" w:rsidP="0080526B">
      <w:pPr>
        <w:spacing w:after="0" w:line="240" w:lineRule="auto"/>
        <w:rPr>
          <w:sz w:val="24"/>
          <w:szCs w:val="24"/>
        </w:rPr>
      </w:pPr>
      <w:r w:rsidRPr="0080526B">
        <w:rPr>
          <w:sz w:val="24"/>
          <w:szCs w:val="24"/>
        </w:rPr>
        <w:t xml:space="preserve">Contra bond ETFs seek to produce a return that is the inverse of how the underlying bond index performed for a given day. For example, if the underlying index falls 1%, a contra bond ETF may rise 1%. A fund labeled “ultrashort,” “2x” or “3x” is intended to produce a return that is 200% or 300% inverse of the underlying index. (If the index falls 1%, these ETFs may rise by 2% or </w:t>
      </w:r>
      <w:proofErr w:type="gramStart"/>
      <w:r w:rsidRPr="0080526B">
        <w:rPr>
          <w:sz w:val="24"/>
          <w:szCs w:val="24"/>
        </w:rPr>
        <w:t>3%</w:t>
      </w:r>
      <w:proofErr w:type="gramEnd"/>
      <w:r w:rsidRPr="0080526B">
        <w:rPr>
          <w:sz w:val="24"/>
          <w:szCs w:val="24"/>
        </w:rPr>
        <w:t>.) These are very aggressive funds and are designed to be used solely on a single day. Holding such funds for longer periods can result in returns that may be worse than expected.</w:t>
      </w:r>
    </w:p>
    <w:p w:rsidR="0080526B" w:rsidRPr="0080526B" w:rsidRDefault="0080526B" w:rsidP="0080526B">
      <w:pPr>
        <w:spacing w:after="0" w:line="240" w:lineRule="auto"/>
        <w:rPr>
          <w:sz w:val="24"/>
          <w:szCs w:val="24"/>
        </w:rPr>
      </w:pPr>
    </w:p>
    <w:p w:rsidR="0080526B" w:rsidRDefault="0080526B" w:rsidP="0080526B">
      <w:pPr>
        <w:spacing w:after="0" w:line="240" w:lineRule="auto"/>
        <w:rPr>
          <w:b/>
          <w:sz w:val="24"/>
          <w:szCs w:val="24"/>
        </w:rPr>
      </w:pPr>
    </w:p>
    <w:p w:rsidR="0080526B" w:rsidRDefault="0080526B" w:rsidP="0080526B">
      <w:pPr>
        <w:spacing w:after="0" w:line="240" w:lineRule="auto"/>
        <w:rPr>
          <w:b/>
          <w:sz w:val="24"/>
          <w:szCs w:val="24"/>
        </w:rPr>
      </w:pPr>
    </w:p>
    <w:p w:rsidR="0080526B" w:rsidRDefault="0080526B" w:rsidP="0080526B">
      <w:pPr>
        <w:spacing w:after="0" w:line="240" w:lineRule="auto"/>
        <w:rPr>
          <w:b/>
          <w:sz w:val="24"/>
          <w:szCs w:val="24"/>
        </w:rPr>
      </w:pPr>
    </w:p>
    <w:p w:rsidR="0080526B" w:rsidRPr="0080526B" w:rsidRDefault="0080526B" w:rsidP="0080526B">
      <w:pPr>
        <w:spacing w:after="0" w:line="240" w:lineRule="auto"/>
        <w:rPr>
          <w:b/>
          <w:sz w:val="24"/>
          <w:szCs w:val="24"/>
        </w:rPr>
      </w:pPr>
      <w:bookmarkStart w:id="0" w:name="_GoBack"/>
      <w:bookmarkEnd w:id="0"/>
      <w:r w:rsidRPr="0080526B">
        <w:rPr>
          <w:b/>
          <w:sz w:val="24"/>
          <w:szCs w:val="24"/>
        </w:rPr>
        <w:lastRenderedPageBreak/>
        <w:t>Municipal and State-Specific Bond Funds</w:t>
      </w:r>
    </w:p>
    <w:p w:rsidR="0080526B" w:rsidRDefault="0080526B" w:rsidP="0080526B">
      <w:pPr>
        <w:spacing w:after="0" w:line="240" w:lineRule="auto"/>
        <w:rPr>
          <w:sz w:val="24"/>
          <w:szCs w:val="24"/>
        </w:rPr>
      </w:pPr>
      <w:r w:rsidRPr="0080526B">
        <w:rPr>
          <w:sz w:val="24"/>
          <w:szCs w:val="24"/>
        </w:rPr>
        <w:t>Tax-exempt municipal bond ETFs invest in bonds whose income is exempt from federal income tax. Some tax-exempt funds may invest in municipal bonds whose income is also exempt from the income tax of a specific state.</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International Bond Funds</w:t>
      </w:r>
    </w:p>
    <w:p w:rsidR="0080526B" w:rsidRPr="0080526B" w:rsidRDefault="0080526B" w:rsidP="0080526B">
      <w:pPr>
        <w:spacing w:after="0" w:line="240" w:lineRule="auto"/>
        <w:rPr>
          <w:sz w:val="24"/>
          <w:szCs w:val="24"/>
        </w:rPr>
      </w:pPr>
      <w:r w:rsidRPr="0080526B">
        <w:rPr>
          <w:sz w:val="24"/>
          <w:szCs w:val="24"/>
        </w:rPr>
        <w:t>International bond ETFs allow investors to hold a diversified portfolio of foreign corporate and government bonds. These foreign bonds often offer higher yields, but carry additional risks beyond those of domestic bonds. As with foreign common stocks, currency risk can be as significant as the potential default of foreign government bonds--a particular risk with the debt of emerging countries. International bond funds are categorized as general or emerging.</w:t>
      </w:r>
    </w:p>
    <w:p w:rsidR="0080526B" w:rsidRPr="0080526B" w:rsidRDefault="0080526B" w:rsidP="0080526B">
      <w:pPr>
        <w:spacing w:after="0" w:line="240" w:lineRule="auto"/>
        <w:rPr>
          <w:sz w:val="24"/>
          <w:szCs w:val="24"/>
        </w:rPr>
      </w:pPr>
    </w:p>
    <w:p w:rsidR="0080526B" w:rsidRPr="0080526B" w:rsidRDefault="0080526B" w:rsidP="0080526B">
      <w:pPr>
        <w:spacing w:after="0" w:line="240" w:lineRule="auto"/>
        <w:rPr>
          <w:b/>
          <w:sz w:val="24"/>
          <w:szCs w:val="24"/>
        </w:rPr>
      </w:pPr>
      <w:r w:rsidRPr="0080526B">
        <w:rPr>
          <w:b/>
          <w:sz w:val="24"/>
          <w:szCs w:val="24"/>
        </w:rPr>
        <w:t>Currency ETFs</w:t>
      </w:r>
    </w:p>
    <w:p w:rsidR="0080526B" w:rsidRPr="0080526B" w:rsidRDefault="0080526B" w:rsidP="0080526B">
      <w:pPr>
        <w:spacing w:after="0" w:line="240" w:lineRule="auto"/>
        <w:rPr>
          <w:sz w:val="24"/>
          <w:szCs w:val="24"/>
        </w:rPr>
      </w:pPr>
      <w:r w:rsidRPr="0080526B">
        <w:rPr>
          <w:sz w:val="24"/>
          <w:szCs w:val="24"/>
        </w:rPr>
        <w:t>Currency ETFs are designed to track changes in exchange rates between two or more currencies. Most currency funds seek a total return reflective of changes between the U.S. dollar and a foreign currency. Some currency ETFs, however track the changes in exchange rates among several currencies. Exchange rates move independently of stock prices, but can be volatile, are difficult to forecast and may not be suitable for all investors.</w:t>
      </w:r>
    </w:p>
    <w:sectPr w:rsidR="0080526B" w:rsidRPr="008052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763" w:rsidRDefault="00ED0763" w:rsidP="00ED0763">
      <w:pPr>
        <w:spacing w:after="0" w:line="240" w:lineRule="auto"/>
      </w:pPr>
      <w:r>
        <w:separator/>
      </w:r>
    </w:p>
  </w:endnote>
  <w:endnote w:type="continuationSeparator" w:id="0">
    <w:p w:rsidR="00ED0763" w:rsidRDefault="00ED0763" w:rsidP="00ED0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763" w:rsidRDefault="00ED0763" w:rsidP="00ED0763">
      <w:pPr>
        <w:spacing w:after="0" w:line="240" w:lineRule="auto"/>
      </w:pPr>
      <w:r>
        <w:separator/>
      </w:r>
    </w:p>
  </w:footnote>
  <w:footnote w:type="continuationSeparator" w:id="0">
    <w:p w:rsidR="00ED0763" w:rsidRDefault="00ED0763" w:rsidP="00ED07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60E"/>
    <w:rsid w:val="002D58F8"/>
    <w:rsid w:val="003578CD"/>
    <w:rsid w:val="0036360E"/>
    <w:rsid w:val="0080526B"/>
    <w:rsid w:val="00AD334E"/>
    <w:rsid w:val="00C52E96"/>
    <w:rsid w:val="00ED0763"/>
    <w:rsid w:val="00F43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C4B3C70-FEFB-43A6-A89C-7B4EC4437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0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763"/>
  </w:style>
  <w:style w:type="paragraph" w:styleId="Footer">
    <w:name w:val="footer"/>
    <w:basedOn w:val="Normal"/>
    <w:link w:val="FooterChar"/>
    <w:uiPriority w:val="99"/>
    <w:unhideWhenUsed/>
    <w:rsid w:val="00ED07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53377">
      <w:bodyDiv w:val="1"/>
      <w:marLeft w:val="0"/>
      <w:marRight w:val="0"/>
      <w:marTop w:val="0"/>
      <w:marBottom w:val="0"/>
      <w:divBdr>
        <w:top w:val="none" w:sz="0" w:space="0" w:color="auto"/>
        <w:left w:val="none" w:sz="0" w:space="0" w:color="auto"/>
        <w:bottom w:val="none" w:sz="0" w:space="0" w:color="auto"/>
        <w:right w:val="none" w:sz="0" w:space="0" w:color="auto"/>
      </w:divBdr>
    </w:div>
    <w:div w:id="750547422">
      <w:bodyDiv w:val="1"/>
      <w:marLeft w:val="0"/>
      <w:marRight w:val="0"/>
      <w:marTop w:val="0"/>
      <w:marBottom w:val="0"/>
      <w:divBdr>
        <w:top w:val="none" w:sz="0" w:space="0" w:color="auto"/>
        <w:left w:val="none" w:sz="0" w:space="0" w:color="auto"/>
        <w:bottom w:val="none" w:sz="0" w:space="0" w:color="auto"/>
        <w:right w:val="none" w:sz="0" w:space="0" w:color="auto"/>
      </w:divBdr>
    </w:div>
    <w:div w:id="98246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E65C9-E212-4875-A894-00BD0157B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Henrich</dc:creator>
  <cp:keywords/>
  <dc:description/>
  <cp:lastModifiedBy>Annie Prada</cp:lastModifiedBy>
  <cp:revision>2</cp:revision>
  <dcterms:created xsi:type="dcterms:W3CDTF">2016-07-26T19:37:00Z</dcterms:created>
  <dcterms:modified xsi:type="dcterms:W3CDTF">2016-07-26T19:37:00Z</dcterms:modified>
</cp:coreProperties>
</file>